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keepNext w:val="1"/>
        <w:spacing w:before="0" w:line="240" w:lineRule="auto"/>
        <w:jc w:val="left"/>
        <w:outlineLvl w:val="0"/>
        <w:rPr>
          <w:rFonts w:ascii="Helvetica" w:cs="Helvetica" w:hAnsi="Helvetica" w:eastAsia="Helvetica"/>
          <w:b w:val="1"/>
          <w:bCs w:val="1"/>
          <w:kern w:val="28"/>
          <w:sz w:val="2"/>
          <w:szCs w:val="2"/>
          <w:lang w:val="en-US"/>
        </w:rPr>
      </w:pPr>
      <w:r>
        <w:rPr>
          <w:rFonts w:ascii="Helvetica" w:cs="Helvetica" w:hAnsi="Helvetica" w:eastAsia="Helvetica"/>
          <w:b w:val="1"/>
          <w:bCs w:val="1"/>
          <w:kern w:val="28"/>
          <w:sz w:val="12"/>
          <w:szCs w:val="12"/>
          <w:lang w:val="en-US"/>
        </w:rP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margin">
                  <wp:posOffset>1942388</wp:posOffset>
                </wp:positionH>
                <wp:positionV relativeFrom="page">
                  <wp:posOffset>332316</wp:posOffset>
                </wp:positionV>
                <wp:extent cx="2973223" cy="347134"/>
                <wp:effectExtent l="0" t="0" r="0" b="0"/>
                <wp:wrapNone/>
                <wp:docPr id="1073741825" name="officeArt object" descr="Sun 5pm - July 20, 2025"/>
                <wp:cNvGraphicFramePr/>
                <a:graphic xmlns:a="http://schemas.openxmlformats.org/drawingml/2006/main">
                  <a:graphicData uri="http://schemas.microsoft.com/office/word/2010/wordprocessingShape">
                    <wps:wsp>
                      <wps:cNvSpPr txBox="1"/>
                      <wps:spPr>
                        <a:xfrm>
                          <a:off x="0" y="0"/>
                          <a:ext cx="2973223" cy="347134"/>
                        </a:xfrm>
                        <a:prstGeom prst="rect">
                          <a:avLst/>
                        </a:prstGeom>
                        <a:noFill/>
                        <a:ln w="12700" cap="flat">
                          <a:solidFill>
                            <a:srgbClr val="000000"/>
                          </a:solidFill>
                          <a:prstDash val="solid"/>
                          <a:miter lim="400000"/>
                        </a:ln>
                        <a:effectLst/>
                      </wps:spPr>
                      <wps:txbx>
                        <w:txbxContent>
                          <w:p>
                            <w:pPr>
                              <w:pStyle w:val="Body"/>
                              <w:jc w:val="center"/>
                            </w:pPr>
                            <w:r>
                              <w:rPr>
                                <w:rFonts w:ascii="Franklin Gothic" w:hAnsi="Franklin Gothic"/>
                                <w:sz w:val="32"/>
                                <w:szCs w:val="32"/>
                                <w:rtl w:val="0"/>
                                <w:lang w:val="en-US"/>
                              </w:rPr>
                              <w:t>Sun 5pm - July 20, 2025</w:t>
                            </w:r>
                          </w:p>
                        </w:txbxContent>
                      </wps:txbx>
                      <wps:bodyPr wrap="square" lIns="38100" tIns="38100" rIns="38100" bIns="38100" numCol="1" anchor="t">
                        <a:noAutofit/>
                      </wps:bodyPr>
                    </wps:wsp>
                  </a:graphicData>
                </a:graphic>
              </wp:anchor>
            </w:drawing>
          </mc:Choice>
          <mc:Fallback>
            <w:pict>
              <v:shape id="_x0000_s1026" type="#_x0000_t202" style="visibility:visible;position:absolute;margin-left:152.9pt;margin-top:26.2pt;width:234.1pt;height:27.3pt;z-index:251659264;mso-position-horizontal:absolute;mso-position-horizontal-relative:margin;mso-position-vertical:absolute;mso-position-vertical-relative:page;mso-wrap-distance-left:12.0pt;mso-wrap-distance-top:12.0pt;mso-wrap-distance-right:12.0pt;mso-wrap-distance-bottom:12.0pt;">
                <v:fill on="f"/>
                <v:stroke filltype="solid" color="#000000" opacity="100.0%" weight="1.0pt" dashstyle="solid" endcap="flat" miterlimit="400.0%" joinstyle="miter" linestyle="single" startarrow="none" startarrowwidth="medium" startarrowlength="medium" endarrow="none" endarrowwidth="medium" endarrowlength="medium"/>
                <v:textbox>
                  <w:txbxContent>
                    <w:p>
                      <w:pPr>
                        <w:pStyle w:val="Body"/>
                        <w:jc w:val="center"/>
                      </w:pPr>
                      <w:r>
                        <w:rPr>
                          <w:rFonts w:ascii="Franklin Gothic" w:hAnsi="Franklin Gothic"/>
                          <w:sz w:val="32"/>
                          <w:szCs w:val="32"/>
                          <w:rtl w:val="0"/>
                          <w:lang w:val="en-US"/>
                        </w:rPr>
                        <w:t>Sun 5pm - July 20, 2025</w:t>
                      </w:r>
                    </w:p>
                  </w:txbxContent>
                </v:textbox>
                <w10:wrap type="none" side="bothSides" anchorx="margin" anchory="page"/>
              </v:shape>
            </w:pict>
          </mc:Fallback>
        </mc:AlternateContent>
      </w:r>
    </w:p>
    <w:p>
      <w:pPr>
        <w:pStyle w:val="Default"/>
        <w:keepNext w:val="1"/>
        <w:spacing w:before="0" w:after="60" w:line="240" w:lineRule="auto"/>
        <w:jc w:val="left"/>
        <w:outlineLvl w:val="0"/>
        <w:rPr>
          <w:rFonts w:ascii="Helvetica" w:cs="Helvetica" w:hAnsi="Helvetica" w:eastAsia="Helvetica"/>
          <w:b w:val="1"/>
          <w:bCs w:val="1"/>
          <w:outline w:val="0"/>
          <w:color w:val="000000"/>
          <w:kern w:val="28"/>
          <w:sz w:val="28"/>
          <w:szCs w:val="28"/>
          <w:lang w:val="en-US"/>
          <w14:textFill>
            <w14:solidFill>
              <w14:srgbClr w14:val="000000"/>
            </w14:solidFill>
          </w14:textFill>
        </w:rPr>
      </w:pPr>
      <w:r>
        <w:rPr>
          <w:rFonts w:ascii="Helvetica" w:hAnsi="Helvetica"/>
          <w:b w:val="1"/>
          <w:bCs w:val="1"/>
          <w:kern w:val="28"/>
          <w:sz w:val="28"/>
          <w:szCs w:val="28"/>
          <w:rtl w:val="0"/>
          <w:lang w:val="en-US"/>
        </w:rPr>
        <w:t>Topic: What is the Apocrypha? Why is it not in our Bible?</w:t>
      </w:r>
    </w:p>
    <w:p>
      <w:pPr>
        <w:pStyle w:val="Default"/>
        <w:keepNext w:val="1"/>
        <w:spacing w:after="60" w:line="240" w:lineRule="auto"/>
        <w:jc w:val="left"/>
        <w:outlineLvl w:val="1"/>
        <w:rPr>
          <w:rFonts w:ascii="Helvetica" w:cs="Helvetica" w:hAnsi="Helvetica" w:eastAsia="Helvetica"/>
          <w:b w:val="1"/>
          <w:bCs w:val="1"/>
          <w:i w:val="1"/>
          <w:iCs w:val="1"/>
          <w:sz w:val="24"/>
          <w:szCs w:val="24"/>
          <w:lang w:val="en-US"/>
        </w:rPr>
      </w:pPr>
      <w:r>
        <w:rPr>
          <w:rFonts w:ascii="Helvetica" w:hAnsi="Helvetica"/>
          <w:b w:val="1"/>
          <w:bCs w:val="1"/>
          <w:i w:val="1"/>
          <w:iCs w:val="1"/>
          <w:sz w:val="24"/>
          <w:szCs w:val="24"/>
          <w:rtl w:val="0"/>
          <w:lang w:val="en-US"/>
        </w:rPr>
        <w:t>What is the Apocrypha?</w:t>
      </w:r>
    </w:p>
    <w:p>
      <w:pPr>
        <w:pStyle w:val="Default"/>
        <w:spacing w:before="0" w:line="240" w:lineRule="auto"/>
        <w:jc w:val="left"/>
        <w:rPr>
          <w:rFonts w:ascii="Times New Roman" w:cs="Times New Roman" w:hAnsi="Times New Roman" w:eastAsia="Times New Roman"/>
          <w:lang w:val="en-US"/>
        </w:rPr>
      </w:pPr>
      <w:r>
        <w:rPr>
          <w:rFonts w:ascii="Times New Roman" w:hAnsi="Times New Roman" w:hint="default"/>
          <w:rtl w:val="0"/>
          <w:lang w:val="en-US"/>
        </w:rPr>
        <w:t>“</w:t>
      </w:r>
      <w:r>
        <w:rPr>
          <w:rFonts w:ascii="Times New Roman" w:hAnsi="Times New Roman"/>
          <w:rtl w:val="0"/>
          <w:lang w:val="en-US"/>
        </w:rPr>
        <w:t>Apocrypha</w:t>
      </w:r>
      <w:r>
        <w:rPr>
          <w:rFonts w:ascii="Times New Roman" w:hAnsi="Times New Roman" w:hint="default"/>
          <w:rtl w:val="0"/>
          <w:lang w:val="en-US"/>
        </w:rPr>
        <w:t>”—</w:t>
      </w:r>
      <w:r>
        <w:rPr>
          <w:rFonts w:ascii="Times New Roman" w:hAnsi="Times New Roman"/>
          <w:rtl w:val="0"/>
          <w:lang w:val="en-US"/>
        </w:rPr>
        <w:t xml:space="preserve">the etymology of the word means </w:t>
      </w:r>
      <w:r>
        <w:rPr>
          <w:rFonts w:ascii="Times New Roman" w:hAnsi="Times New Roman" w:hint="default"/>
          <w:rtl w:val="0"/>
          <w:lang w:val="en-US"/>
        </w:rPr>
        <w:t>“</w:t>
      </w:r>
      <w:r>
        <w:rPr>
          <w:rFonts w:ascii="Times New Roman" w:hAnsi="Times New Roman"/>
          <w:rtl w:val="0"/>
          <w:lang w:val="en-US"/>
        </w:rPr>
        <w:t>hidden.</w:t>
      </w:r>
      <w:r>
        <w:rPr>
          <w:rFonts w:ascii="Times New Roman" w:hAnsi="Times New Roman" w:hint="default"/>
          <w:rtl w:val="0"/>
          <w:lang w:val="en-US"/>
        </w:rPr>
        <w:t xml:space="preserve">”  </w:t>
      </w:r>
      <w:r>
        <w:rPr>
          <w:rFonts w:ascii="Times New Roman" w:hAnsi="Times New Roman"/>
          <w:rtl w:val="0"/>
          <w:lang w:val="en-US"/>
        </w:rPr>
        <w:t xml:space="preserve">It is a term used today to refer to books not included in the standard editions of major versions (e.g., KJV, NKJV, ASV, NASB, ESV). Some of these will have special editions with the Apocrypha.  The earliest MSS to include Apocryphal books is the Greek translation of the OT, called the Septuagint, or LXX, in the fourth century A.D. While there are fifteen Apocryphal books listed below, in the Roman Catholic Bible they number seven, thus making their Old Testament number 46 books. </w:t>
      </w:r>
      <w:r>
        <w:rPr>
          <w:rFonts w:ascii="Times New Roman" w:hAnsi="Times New Roman"/>
          <w:i w:val="1"/>
          <w:iCs w:val="1"/>
          <w:rtl w:val="0"/>
          <w:lang w:val="en-US"/>
        </w:rPr>
        <w:t>I and II Esdras</w:t>
      </w:r>
      <w:r>
        <w:rPr>
          <w:rFonts w:ascii="Times New Roman" w:hAnsi="Times New Roman"/>
          <w:rtl w:val="0"/>
          <w:lang w:val="en-US"/>
        </w:rPr>
        <w:t xml:space="preserve"> and </w:t>
      </w:r>
      <w:r>
        <w:rPr>
          <w:rFonts w:ascii="Times New Roman" w:hAnsi="Times New Roman"/>
          <w:i w:val="1"/>
          <w:iCs w:val="1"/>
          <w:rtl w:val="0"/>
          <w:lang w:val="en-US"/>
        </w:rPr>
        <w:t>The Prayer of Manasseh</w:t>
      </w:r>
      <w:r>
        <w:rPr>
          <w:rFonts w:ascii="Times New Roman" w:hAnsi="Times New Roman"/>
          <w:rtl w:val="0"/>
          <w:lang w:val="en-US"/>
        </w:rPr>
        <w:t xml:space="preserve"> are rejected and thus omitted (-3), and five others are absorbed into other books (-5), thus 15-8=7. See chart below.</w:t>
      </w:r>
    </w:p>
    <w:p>
      <w:pPr>
        <w:pStyle w:val="Default"/>
        <w:spacing w:before="0" w:line="240" w:lineRule="auto"/>
        <w:jc w:val="left"/>
        <w:rPr>
          <w:rFonts w:ascii="Times New Roman" w:cs="Times New Roman" w:hAnsi="Times New Roman" w:eastAsia="Times New Roman"/>
          <w:sz w:val="12"/>
          <w:szCs w:val="12"/>
          <w:lang w:val="en-US"/>
        </w:rPr>
      </w:pPr>
    </w:p>
    <w:p>
      <w:pPr>
        <w:pStyle w:val="Default"/>
        <w:suppressAutoHyphens w:val="1"/>
        <w:spacing w:before="0" w:after="20" w:line="240" w:lineRule="auto"/>
        <w:jc w:val="left"/>
        <w:rPr>
          <w:rFonts w:ascii="Times New Roman" w:cs="Times New Roman" w:hAnsi="Times New Roman" w:eastAsia="Times New Roman"/>
          <w:sz w:val="20"/>
          <w:szCs w:val="20"/>
        </w:rPr>
      </w:pPr>
      <w:r>
        <w:rPr>
          <w:rFonts w:ascii="Times New Roman" w:hAnsi="Times New Roman"/>
          <w:sz w:val="24"/>
          <w:szCs w:val="24"/>
          <w:rtl w:val="0"/>
          <w:lang w:val="en-US"/>
        </w:rPr>
        <w:t xml:space="preserve">Below is a listing of the Old Testament Apocrypha. </w:t>
      </w:r>
      <w:r>
        <w:rPr>
          <w:rFonts w:ascii="Times New Roman" w:hAnsi="Times New Roman"/>
          <w:sz w:val="20"/>
          <w:szCs w:val="20"/>
          <w:rtl w:val="0"/>
        </w:rPr>
        <w:t xml:space="preserve">[Acronyms: </w:t>
      </w:r>
      <w:r>
        <w:rPr>
          <w:rFonts w:ascii="Times New Roman" w:hAnsi="Times New Roman" w:hint="default"/>
          <w:sz w:val="20"/>
          <w:szCs w:val="20"/>
          <w:rtl w:val="1"/>
          <w:lang w:val="ar-SA" w:bidi="ar-SA"/>
        </w:rPr>
        <w:t>“</w:t>
      </w:r>
      <w:r>
        <w:rPr>
          <w:rFonts w:ascii="Times New Roman" w:hAnsi="Times New Roman"/>
          <w:sz w:val="20"/>
          <w:szCs w:val="20"/>
          <w:rtl w:val="0"/>
        </w:rPr>
        <w:t>RC</w:t>
      </w:r>
      <w:r>
        <w:rPr>
          <w:rFonts w:ascii="Times New Roman" w:hAnsi="Times New Roman" w:hint="default"/>
          <w:sz w:val="20"/>
          <w:szCs w:val="20"/>
          <w:rtl w:val="0"/>
        </w:rPr>
        <w:t xml:space="preserve">” </w:t>
      </w:r>
      <w:r>
        <w:rPr>
          <w:rFonts w:ascii="Times New Roman" w:hAnsi="Times New Roman"/>
          <w:sz w:val="20"/>
          <w:szCs w:val="20"/>
          <w:rtl w:val="0"/>
          <w:lang w:val="de-DE"/>
        </w:rPr>
        <w:t xml:space="preserve">- Roman  Cath. Church; </w:t>
      </w:r>
      <w:r>
        <w:rPr>
          <w:rFonts w:ascii="Times New Roman" w:hAnsi="Times New Roman" w:hint="default"/>
          <w:sz w:val="20"/>
          <w:szCs w:val="20"/>
          <w:rtl w:val="1"/>
          <w:lang w:val="ar-SA" w:bidi="ar-SA"/>
        </w:rPr>
        <w:t>“</w:t>
      </w:r>
      <w:r>
        <w:rPr>
          <w:rFonts w:ascii="Times New Roman" w:hAnsi="Times New Roman"/>
          <w:sz w:val="20"/>
          <w:szCs w:val="20"/>
          <w:rtl w:val="0"/>
        </w:rPr>
        <w:t>a</w:t>
      </w:r>
      <w:r>
        <w:rPr>
          <w:rFonts w:ascii="Times New Roman" w:hAnsi="Times New Roman" w:hint="default"/>
          <w:sz w:val="20"/>
          <w:szCs w:val="20"/>
          <w:rtl w:val="0"/>
        </w:rPr>
        <w:t xml:space="preserve">” </w:t>
      </w:r>
      <w:r>
        <w:rPr>
          <w:rFonts w:ascii="Times New Roman" w:hAnsi="Times New Roman"/>
          <w:sz w:val="20"/>
          <w:szCs w:val="20"/>
          <w:rtl w:val="0"/>
        </w:rPr>
        <w:t xml:space="preserve">- absorbed </w:t>
      </w:r>
      <w:r>
        <w:rPr>
          <w:rFonts w:ascii="Times New Roman" w:hAnsi="Times New Roman" w:hint="default"/>
          <w:sz w:val="20"/>
          <w:szCs w:val="20"/>
          <w:rtl w:val="1"/>
          <w:lang w:val="ar-SA" w:bidi="ar-SA"/>
        </w:rPr>
        <w:t>“</w:t>
      </w:r>
      <w:r>
        <w:rPr>
          <w:rFonts w:ascii="Times New Roman" w:hAnsi="Times New Roman"/>
          <w:sz w:val="20"/>
          <w:szCs w:val="20"/>
          <w:rtl w:val="0"/>
        </w:rPr>
        <w:t>r</w:t>
      </w:r>
      <w:r>
        <w:rPr>
          <w:rFonts w:ascii="Times New Roman" w:hAnsi="Times New Roman" w:hint="default"/>
          <w:sz w:val="20"/>
          <w:szCs w:val="20"/>
          <w:rtl w:val="0"/>
        </w:rPr>
        <w:t xml:space="preserve">” </w:t>
      </w:r>
      <w:r>
        <w:rPr>
          <w:rFonts w:ascii="Times New Roman" w:hAnsi="Times New Roman"/>
          <w:sz w:val="20"/>
          <w:szCs w:val="20"/>
          <w:rtl w:val="0"/>
          <w:lang w:val="en-US"/>
        </w:rPr>
        <w:t>-rejected]</w:t>
      </w:r>
    </w:p>
    <w:p>
      <w:pPr>
        <w:pStyle w:val="Default"/>
        <w:suppressAutoHyphens w:val="1"/>
        <w:spacing w:before="0" w:after="20" w:line="240" w:lineRule="auto"/>
        <w:jc w:val="left"/>
        <w:rPr>
          <w:rFonts w:ascii="Times New Roman" w:cs="Times New Roman" w:hAnsi="Times New Roman" w:eastAsia="Times New Roman"/>
          <w:sz w:val="4"/>
          <w:szCs w:val="4"/>
        </w:rPr>
        <w:sectPr>
          <w:headerReference w:type="default" r:id="rId4"/>
          <w:footerReference w:type="default" r:id="rId5"/>
          <w:pgSz w:w="12240" w:h="15840" w:orient="portrait"/>
          <w:pgMar w:top="1080" w:right="720" w:bottom="720" w:left="720" w:header="720" w:footer="864"/>
          <w:bidi w:val="0"/>
        </w:sectPr>
      </w:pPr>
      <w:r>
        <w:rPr>
          <w:rFonts w:ascii="Times New Roman" w:cs="Times New Roman" w:hAnsi="Times New Roman" w:eastAsia="Times New Roman"/>
          <w:sz w:val="4"/>
          <w:szCs w:val="4"/>
        </w:rPr>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The Wisdom of Solomon (c. 30 B.C.)</w:t>
      </w:r>
    </w:p>
    <w:p>
      <w:pPr>
        <w:pStyle w:val="Default"/>
        <w:numPr>
          <w:ilvl w:val="0"/>
          <w:numId w:val="2"/>
        </w:numPr>
        <w:suppressAutoHyphens w:val="1"/>
        <w:spacing w:before="0" w:line="240" w:lineRule="auto"/>
        <w:jc w:val="left"/>
        <w:rPr>
          <w:rFonts w:ascii="Times New Roman" w:hAnsi="Times New Roman"/>
          <w:sz w:val="20"/>
          <w:szCs w:val="20"/>
          <w:lang w:val="it-IT"/>
        </w:rPr>
      </w:pPr>
      <w:r>
        <w:rPr>
          <w:rFonts w:ascii="Times New Roman" w:hAnsi="Times New Roman"/>
          <w:sz w:val="20"/>
          <w:szCs w:val="20"/>
          <w:rtl w:val="0"/>
          <w:lang w:val="it-IT"/>
        </w:rPr>
        <w:t>Ecclesiasticus (Sirach) (132 B.C.)</w:t>
      </w:r>
    </w:p>
    <w:p>
      <w:pPr>
        <w:pStyle w:val="Default"/>
        <w:numPr>
          <w:ilvl w:val="0"/>
          <w:numId w:val="2"/>
        </w:numPr>
        <w:suppressAutoHyphens w:val="1"/>
        <w:spacing w:before="0" w:line="240" w:lineRule="auto"/>
        <w:jc w:val="left"/>
        <w:rPr>
          <w:rFonts w:ascii="Times New Roman" w:hAnsi="Times New Roman"/>
          <w:sz w:val="20"/>
          <w:szCs w:val="20"/>
        </w:rPr>
      </w:pPr>
      <w:r>
        <w:rPr>
          <w:rFonts w:ascii="Times New Roman" w:hAnsi="Times New Roman"/>
          <w:sz w:val="20"/>
          <w:szCs w:val="20"/>
          <w:rtl w:val="0"/>
        </w:rPr>
        <w:t>Tobit (c. 200 B.C.)</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Judith (c. 150 B.C.)</w:t>
      </w:r>
    </w:p>
    <w:p>
      <w:pPr>
        <w:pStyle w:val="Default"/>
        <w:numPr>
          <w:ilvl w:val="0"/>
          <w:numId w:val="2"/>
        </w:numPr>
        <w:suppressAutoHyphens w:val="1"/>
        <w:spacing w:before="0" w:line="240" w:lineRule="auto"/>
        <w:jc w:val="left"/>
        <w:rPr>
          <w:rFonts w:ascii="Times New Roman" w:hAnsi="Times New Roman"/>
          <w:sz w:val="20"/>
          <w:szCs w:val="20"/>
          <w:lang w:val="it-IT"/>
        </w:rPr>
      </w:pPr>
      <w:r>
        <w:rPr>
          <w:rFonts w:ascii="Times New Roman" w:hAnsi="Times New Roman"/>
          <w:sz w:val="20"/>
          <w:szCs w:val="20"/>
          <w:rtl w:val="0"/>
          <w:lang w:val="it-IT"/>
        </w:rPr>
        <w:t>I Maccabees (c. 110 B.C.)</w:t>
      </w:r>
    </w:p>
    <w:p>
      <w:pPr>
        <w:pStyle w:val="Default"/>
        <w:numPr>
          <w:ilvl w:val="0"/>
          <w:numId w:val="2"/>
        </w:numPr>
        <w:suppressAutoHyphens w:val="1"/>
        <w:spacing w:before="0" w:line="240" w:lineRule="auto"/>
        <w:jc w:val="left"/>
        <w:rPr>
          <w:rFonts w:ascii="Times New Roman" w:hAnsi="Times New Roman"/>
          <w:sz w:val="20"/>
          <w:szCs w:val="20"/>
          <w:lang w:val="it-IT"/>
        </w:rPr>
      </w:pPr>
      <w:r>
        <w:rPr>
          <w:rFonts w:ascii="Times New Roman" w:hAnsi="Times New Roman"/>
          <w:sz w:val="20"/>
          <w:szCs w:val="20"/>
          <w:rtl w:val="0"/>
          <w:lang w:val="it-IT"/>
        </w:rPr>
        <w:t>II Maccabees (c. 110-70 B.C.)</w:t>
      </w:r>
    </w:p>
    <w:p>
      <w:pPr>
        <w:pStyle w:val="Default"/>
        <w:numPr>
          <w:ilvl w:val="0"/>
          <w:numId w:val="2"/>
        </w:numPr>
        <w:suppressAutoHyphens w:val="1"/>
        <w:spacing w:before="0" w:line="240" w:lineRule="auto"/>
        <w:jc w:val="left"/>
        <w:rPr>
          <w:rFonts w:ascii="Times New Roman" w:hAnsi="Times New Roman"/>
          <w:sz w:val="20"/>
          <w:szCs w:val="20"/>
        </w:rPr>
      </w:pPr>
      <w:r>
        <w:rPr>
          <w:rFonts w:ascii="Times New Roman" w:hAnsi="Times New Roman"/>
          <w:sz w:val="20"/>
          <w:szCs w:val="20"/>
          <w:rtl w:val="0"/>
        </w:rPr>
        <w:t>Baruch (c. 150-50 B.C.)</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Prayer of Manasseh (second or first century B.C.) [r]</w:t>
      </w:r>
    </w:p>
    <w:p>
      <w:pPr>
        <w:pStyle w:val="Default"/>
        <w:numPr>
          <w:ilvl w:val="0"/>
          <w:numId w:val="2"/>
        </w:numPr>
        <w:suppressAutoHyphens w:val="1"/>
        <w:spacing w:before="0" w:line="240" w:lineRule="auto"/>
        <w:jc w:val="left"/>
        <w:rPr>
          <w:rFonts w:ascii="Times New Roman" w:hAnsi="Times New Roman"/>
          <w:sz w:val="20"/>
          <w:szCs w:val="20"/>
          <w:lang w:val="pt-PT"/>
        </w:rPr>
      </w:pPr>
      <w:r>
        <w:rPr>
          <w:rFonts w:ascii="Times New Roman" w:hAnsi="Times New Roman"/>
          <w:sz w:val="20"/>
          <w:szCs w:val="20"/>
          <w:rtl w:val="0"/>
          <w:lang w:val="pt-PT"/>
        </w:rPr>
        <w:t>I Esdras (c. 150-100 B.C.) [r]</w:t>
      </w:r>
    </w:p>
    <w:p>
      <w:pPr>
        <w:pStyle w:val="Default"/>
        <w:numPr>
          <w:ilvl w:val="0"/>
          <w:numId w:val="2"/>
        </w:numPr>
        <w:suppressAutoHyphens w:val="1"/>
        <w:spacing w:before="0" w:line="240" w:lineRule="auto"/>
        <w:jc w:val="left"/>
        <w:rPr>
          <w:rFonts w:ascii="Times New Roman" w:hAnsi="Times New Roman"/>
          <w:sz w:val="20"/>
          <w:szCs w:val="20"/>
          <w:lang w:val="pt-PT"/>
        </w:rPr>
      </w:pPr>
      <w:r>
        <w:rPr>
          <w:rFonts w:ascii="Times New Roman" w:hAnsi="Times New Roman"/>
          <w:sz w:val="20"/>
          <w:szCs w:val="20"/>
          <w:rtl w:val="0"/>
          <w:lang w:val="pt-PT"/>
        </w:rPr>
        <w:t>II Esdras (c. A.D. 100) [r]</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Letter of Jeremiah (c. 300-100 B.C.) [a in Baruch]</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Additions to Esther (140-130 B.C.) [a in Esther]</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Prayer of Azariah (second or first century B.C.) (Song of Three Young Men, or Children) [a in Daniel]</w:t>
      </w:r>
    </w:p>
    <w:p>
      <w:pPr>
        <w:pStyle w:val="Default"/>
        <w:numPr>
          <w:ilvl w:val="0"/>
          <w:numId w:val="2"/>
        </w:numPr>
        <w:suppressAutoHyphens w:val="1"/>
        <w:spacing w:before="0" w:line="240" w:lineRule="auto"/>
        <w:jc w:val="left"/>
        <w:rPr>
          <w:rFonts w:ascii="Times New Roman" w:hAnsi="Times New Roman"/>
          <w:sz w:val="20"/>
          <w:szCs w:val="20"/>
          <w:lang w:val="en-US"/>
        </w:rPr>
      </w:pPr>
      <w:r>
        <w:rPr>
          <w:rFonts w:ascii="Times New Roman" w:hAnsi="Times New Roman"/>
          <w:sz w:val="20"/>
          <w:szCs w:val="20"/>
          <w:rtl w:val="0"/>
          <w:lang w:val="en-US"/>
        </w:rPr>
        <w:t>Susanna (second or first century B.C.) [a in Daniel]</w:t>
      </w:r>
    </w:p>
    <w:p>
      <w:pPr>
        <w:pStyle w:val="Default"/>
        <w:numPr>
          <w:ilvl w:val="0"/>
          <w:numId w:val="2"/>
        </w:numPr>
        <w:suppressAutoHyphens w:val="1"/>
        <w:spacing w:before="0" w:line="240" w:lineRule="auto"/>
        <w:jc w:val="left"/>
        <w:rPr>
          <w:rFonts w:ascii="Times New Roman" w:hAnsi="Times New Roman"/>
          <w:sz w:val="20"/>
          <w:szCs w:val="20"/>
          <w:lang w:val="en-US"/>
        </w:rPr>
        <w:sectPr>
          <w:type w:val="continuous"/>
          <w:pgSz w:w="12240" w:h="15840" w:orient="portrait"/>
          <w:pgMar w:top="1080" w:right="720" w:bottom="720" w:left="720" w:header="720" w:footer="864"/>
          <w:cols w:space="540" w:num="2" w:equalWidth="1"/>
          <w:bidi w:val="0"/>
        </w:sectPr>
      </w:pPr>
      <w:r>
        <w:rPr>
          <w:rFonts w:ascii="Times New Roman" w:hAnsi="Times New Roman"/>
          <w:sz w:val="20"/>
          <w:szCs w:val="20"/>
          <w:rtl w:val="0"/>
          <w:lang w:val="en-US"/>
        </w:rPr>
        <w:t>Bel and the Dragon (c. 100 B.C.) [a in Daniel]</w:t>
      </w:r>
      <w:r>
        <w:rPr>
          <w:rFonts w:ascii="Times New Roman" w:cs="Times New Roman" w:hAnsi="Times New Roman" w:eastAsia="Times New Roman"/>
          <w:sz w:val="20"/>
          <w:szCs w:val="20"/>
        </w:rPr>
      </w:r>
    </w:p>
    <w:p>
      <w:pPr>
        <w:pStyle w:val="Default"/>
        <w:tabs>
          <w:tab w:val="left" w:pos="20"/>
          <w:tab w:val="left" w:pos="288"/>
          <w:tab w:val="left" w:pos="360"/>
        </w:tabs>
        <w:suppressAutoHyphens w:val="1"/>
        <w:spacing w:before="0" w:line="240" w:lineRule="auto"/>
        <w:ind w:left="288" w:hanging="288"/>
        <w:jc w:val="left"/>
        <w:rPr>
          <w:rFonts w:ascii="Times New Roman" w:cs="Times New Roman" w:hAnsi="Times New Roman" w:eastAsia="Times New Roman"/>
          <w:sz w:val="18"/>
          <w:szCs w:val="18"/>
        </w:rPr>
      </w:pPr>
    </w:p>
    <w:p>
      <w:pPr>
        <w:pStyle w:val="Default"/>
        <w:keepNext w:val="1"/>
        <w:spacing w:before="0" w:after="60" w:line="240" w:lineRule="auto"/>
        <w:jc w:val="left"/>
        <w:outlineLvl w:val="1"/>
        <w:rPr>
          <w:rFonts w:ascii="Helvetica" w:cs="Helvetica" w:hAnsi="Helvetica" w:eastAsia="Helvetica"/>
          <w:b w:val="1"/>
          <w:bCs w:val="1"/>
          <w:i w:val="1"/>
          <w:iCs w:val="1"/>
          <w:sz w:val="24"/>
          <w:szCs w:val="24"/>
          <w:lang w:val="en-US"/>
        </w:rPr>
      </w:pPr>
      <w:r>
        <w:rPr>
          <w:rFonts w:ascii="Helvetica" w:hAnsi="Helvetica"/>
          <w:b w:val="1"/>
          <w:bCs w:val="1"/>
          <w:i w:val="1"/>
          <w:iCs w:val="1"/>
          <w:sz w:val="24"/>
          <w:szCs w:val="24"/>
          <w:rtl w:val="0"/>
          <w:lang w:val="en-US"/>
        </w:rPr>
        <w:t>Why is it not in our Bible?</w:t>
      </w:r>
    </w:p>
    <w:p>
      <w:pPr>
        <w:pStyle w:val="Body"/>
        <w:numPr>
          <w:ilvl w:val="0"/>
          <w:numId w:val="3"/>
        </w:numPr>
        <w:bidi w:val="0"/>
        <w:rPr>
          <w:sz w:val="24"/>
          <w:szCs w:val="24"/>
        </w:rPr>
      </w:pPr>
      <w:r>
        <w:rPr>
          <w:sz w:val="24"/>
          <w:szCs w:val="24"/>
          <w:rtl w:val="0"/>
          <w:lang w:val="en-US"/>
        </w:rPr>
        <w:t xml:space="preserve">Why were the writings Timothy learned as a child </w:t>
      </w:r>
      <w:r>
        <w:rPr>
          <w:sz w:val="24"/>
          <w:szCs w:val="24"/>
          <w:rtl w:val="0"/>
          <w:lang w:val="en-US"/>
        </w:rPr>
        <w:t>“</w:t>
      </w:r>
      <w:r>
        <w:rPr>
          <w:sz w:val="24"/>
          <w:szCs w:val="24"/>
          <w:rtl w:val="0"/>
          <w:lang w:val="en-US"/>
        </w:rPr>
        <w:t>sacred</w:t>
      </w:r>
      <w:r>
        <w:rPr>
          <w:sz w:val="24"/>
          <w:szCs w:val="24"/>
          <w:rtl w:val="0"/>
          <w:lang w:val="en-US"/>
        </w:rPr>
        <w:t xml:space="preserve">” </w:t>
      </w:r>
      <w:r>
        <w:rPr>
          <w:sz w:val="24"/>
          <w:szCs w:val="24"/>
          <w:rtl w:val="0"/>
          <w:lang w:val="en-US"/>
        </w:rPr>
        <w:t>(</w:t>
      </w:r>
      <w:r>
        <w:rPr>
          <w:sz w:val="24"/>
          <w:szCs w:val="24"/>
          <w:rtl w:val="0"/>
          <w:lang w:val="en-US"/>
        </w:rPr>
        <w:t>“</w:t>
      </w:r>
      <w:r>
        <w:rPr>
          <w:sz w:val="24"/>
          <w:szCs w:val="24"/>
          <w:rtl w:val="0"/>
          <w:lang w:val="en-US"/>
        </w:rPr>
        <w:t>holy</w:t>
      </w:r>
      <w:r>
        <w:rPr>
          <w:sz w:val="24"/>
          <w:szCs w:val="24"/>
          <w:rtl w:val="0"/>
          <w:lang w:val="en-US"/>
        </w:rPr>
        <w:t xml:space="preserve">” </w:t>
      </w:r>
      <w:r>
        <w:rPr>
          <w:sz w:val="24"/>
          <w:szCs w:val="24"/>
          <w:rtl w:val="0"/>
          <w:lang w:val="en-US"/>
        </w:rPr>
        <w:t xml:space="preserve">NKJV), worthy of </w:t>
      </w:r>
      <w:r>
        <w:rPr>
          <w:sz w:val="24"/>
          <w:szCs w:val="24"/>
          <w:rtl w:val="0"/>
          <w:lang w:val="en-US"/>
        </w:rPr>
        <w:t>“</w:t>
      </w:r>
      <w:r>
        <w:rPr>
          <w:sz w:val="24"/>
          <w:szCs w:val="24"/>
          <w:rtl w:val="0"/>
          <w:lang w:val="en-US"/>
        </w:rPr>
        <w:t>continuing</w:t>
      </w:r>
      <w:r>
        <w:rPr>
          <w:sz w:val="24"/>
          <w:szCs w:val="24"/>
          <w:rtl w:val="0"/>
          <w:lang w:val="en-US"/>
        </w:rPr>
        <w:t xml:space="preserve">” </w:t>
      </w:r>
      <w:r>
        <w:rPr>
          <w:sz w:val="24"/>
          <w:szCs w:val="24"/>
          <w:rtl w:val="0"/>
          <w:lang w:val="en-US"/>
        </w:rPr>
        <w:t xml:space="preserve">reading </w:t>
      </w:r>
      <w:r>
        <w:rPr>
          <w:spacing w:val="-4"/>
          <w:rtl w:val="0"/>
          <w:lang w:val="en-US"/>
        </w:rPr>
        <w:t xml:space="preserve">and study, and </w:t>
      </w:r>
      <w:r>
        <w:rPr>
          <w:spacing w:val="-4"/>
          <w:rtl w:val="0"/>
          <w:lang w:val="en-US"/>
        </w:rPr>
        <w:t>“</w:t>
      </w:r>
      <w:r>
        <w:rPr>
          <w:spacing w:val="-4"/>
          <w:rtl w:val="0"/>
          <w:lang w:val="en-US"/>
        </w:rPr>
        <w:t>profitable</w:t>
      </w:r>
      <w:r>
        <w:rPr>
          <w:spacing w:val="-4"/>
          <w:rtl w:val="0"/>
          <w:lang w:val="en-US"/>
        </w:rPr>
        <w:t xml:space="preserve">” </w:t>
      </w:r>
      <w:r>
        <w:rPr>
          <w:spacing w:val="-4"/>
          <w:rtl w:val="0"/>
          <w:lang w:val="en-US"/>
        </w:rPr>
        <w:t xml:space="preserve">for </w:t>
      </w:r>
      <w:r>
        <w:rPr>
          <w:spacing w:val="-4"/>
          <w:rtl w:val="0"/>
          <w:lang w:val="en-US"/>
        </w:rPr>
        <w:t>“</w:t>
      </w:r>
      <w:r>
        <w:rPr>
          <w:spacing w:val="-4"/>
          <w:rtl w:val="0"/>
          <w:lang w:val="en-US"/>
        </w:rPr>
        <w:t>teaching,</w:t>
      </w:r>
      <w:r>
        <w:rPr>
          <w:spacing w:val="-4"/>
          <w:rtl w:val="0"/>
          <w:lang w:val="en-US"/>
        </w:rPr>
        <w:t>” “</w:t>
      </w:r>
      <w:r>
        <w:rPr>
          <w:spacing w:val="-4"/>
          <w:rtl w:val="0"/>
          <w:lang w:val="en-US"/>
        </w:rPr>
        <w:t>reproof,</w:t>
      </w:r>
      <w:r>
        <w:rPr>
          <w:spacing w:val="-4"/>
          <w:rtl w:val="0"/>
          <w:lang w:val="en-US"/>
        </w:rPr>
        <w:t>” “</w:t>
      </w:r>
      <w:r>
        <w:rPr>
          <w:spacing w:val="-4"/>
          <w:rtl w:val="0"/>
          <w:lang w:val="en-US"/>
        </w:rPr>
        <w:t>correction,</w:t>
      </w:r>
      <w:r>
        <w:rPr>
          <w:spacing w:val="-4"/>
          <w:rtl w:val="0"/>
          <w:lang w:val="en-US"/>
        </w:rPr>
        <w:t>” “</w:t>
      </w:r>
      <w:r>
        <w:rPr>
          <w:spacing w:val="-4"/>
          <w:rtl w:val="0"/>
          <w:lang w:val="en-US"/>
        </w:rPr>
        <w:t>training</w:t>
      </w:r>
      <w:r>
        <w:rPr>
          <w:spacing w:val="-4"/>
          <w:rtl w:val="0"/>
          <w:lang w:val="en-US"/>
        </w:rPr>
        <w:t xml:space="preserve">” </w:t>
      </w:r>
      <w:r>
        <w:rPr>
          <w:spacing w:val="-4"/>
          <w:rtl w:val="0"/>
          <w:lang w:val="en-US"/>
        </w:rPr>
        <w:t xml:space="preserve">in righteousness? </w:t>
      </w:r>
      <w:r>
        <w:rPr>
          <w:spacing w:val="-4"/>
          <w:rtl w:val="0"/>
          <w:lang w:val="en-US"/>
        </w:rPr>
        <w:t xml:space="preserve"> </w:t>
      </w:r>
      <w:r>
        <w:rPr>
          <w:b w:val="1"/>
          <w:bCs w:val="1"/>
          <w:spacing w:val="-4"/>
          <w:rtl w:val="0"/>
          <w:lang w:val="en-US"/>
        </w:rPr>
        <w:t>2Tim 3:1</w:t>
      </w:r>
      <w:r>
        <w:rPr>
          <w:b w:val="1"/>
          <w:bCs w:val="1"/>
          <w:spacing w:val="-4"/>
          <w:rtl w:val="0"/>
          <w:lang w:val="en-US"/>
        </w:rPr>
        <w:t>4</w:t>
      </w:r>
      <w:r>
        <w:rPr>
          <w:b w:val="1"/>
          <w:bCs w:val="1"/>
          <w:spacing w:val="-4"/>
          <w:rtl w:val="0"/>
          <w:lang w:val="en-US"/>
        </w:rPr>
        <w:t>-17</w:t>
      </w:r>
      <w:r>
        <w:rPr>
          <w:spacing w:val="-4"/>
          <w:rtl w:val="0"/>
          <w:lang w:val="en-US"/>
        </w:rPr>
        <w:t>.</w:t>
      </w:r>
      <w:r>
        <w:rPr>
          <w:sz w:val="24"/>
          <w:szCs w:val="24"/>
          <w:rtl w:val="0"/>
          <w:lang w:val="en-US"/>
        </w:rPr>
        <w:t xml:space="preserve"> </w:t>
      </w:r>
    </w:p>
    <w:p>
      <w:pPr>
        <w:pStyle w:val="Body"/>
        <w:numPr>
          <w:ilvl w:val="1"/>
          <w:numId w:val="3"/>
        </w:numPr>
        <w:spacing w:before="120"/>
        <w:rPr>
          <w:sz w:val="24"/>
          <w:szCs w:val="24"/>
          <w:lang w:val="en-US"/>
        </w:rPr>
      </w:pPr>
      <w:r>
        <w:rPr>
          <w:sz w:val="24"/>
          <w:szCs w:val="24"/>
          <w:rtl w:val="0"/>
          <w:lang w:val="en-US"/>
        </w:rPr>
        <w:t xml:space="preserve">Compare how Jesus and the </w:t>
      </w:r>
      <w:r>
        <w:rPr>
          <w:sz w:val="24"/>
          <w:szCs w:val="24"/>
          <w:rtl w:val="0"/>
          <w:lang w:val="en-US"/>
        </w:rPr>
        <w:t>apostles</w:t>
      </w:r>
      <w:r>
        <w:rPr>
          <w:sz w:val="24"/>
          <w:szCs w:val="24"/>
          <w:rtl w:val="0"/>
          <w:lang w:val="en-US"/>
        </w:rPr>
        <w:t xml:space="preserve"> appealed to these very </w:t>
      </w:r>
      <w:r>
        <w:rPr>
          <w:sz w:val="24"/>
          <w:szCs w:val="24"/>
          <w:rtl w:val="0"/>
          <w:lang w:val="en-US"/>
        </w:rPr>
        <w:t>“</w:t>
      </w:r>
      <w:r>
        <w:rPr>
          <w:sz w:val="24"/>
          <w:szCs w:val="24"/>
          <w:rtl w:val="0"/>
          <w:lang w:val="en-US"/>
        </w:rPr>
        <w:t>Scriptures</w:t>
      </w:r>
      <w:r>
        <w:rPr>
          <w:sz w:val="22"/>
          <w:szCs w:val="22"/>
          <w:rtl w:val="0"/>
          <w:lang w:val="en-US"/>
        </w:rPr>
        <w:t xml:space="preserve">” </w:t>
      </w:r>
      <w:r>
        <w:rPr>
          <w:sz w:val="22"/>
          <w:szCs w:val="22"/>
          <w:rtl w:val="0"/>
          <w:lang w:val="en-US"/>
        </w:rPr>
        <w:t xml:space="preserve">as </w:t>
      </w:r>
      <w:r>
        <w:rPr>
          <w:rtl w:val="0"/>
          <w:lang w:val="en-US"/>
        </w:rPr>
        <w:t>the standard of truth, faith, and conduct -</w:t>
      </w:r>
      <w:r>
        <w:rPr>
          <w:sz w:val="24"/>
          <w:szCs w:val="24"/>
          <w:rtl w:val="0"/>
          <w:lang w:val="en-US"/>
        </w:rPr>
        <w:t xml:space="preserve"> </w:t>
      </w:r>
      <w:r>
        <w:rPr>
          <w:b w:val="1"/>
          <w:bCs w:val="1"/>
          <w:rtl w:val="0"/>
          <w:lang w:val="en-US"/>
        </w:rPr>
        <w:t>Lk 10:26; 24:25-27; Jn 5:39,45-47; 10:34-35; Ac 15:15; 17:2-3; Rom 15:9-12</w:t>
      </w:r>
      <w:r>
        <w:rPr>
          <w:sz w:val="24"/>
          <w:szCs w:val="24"/>
          <w:rtl w:val="0"/>
          <w:lang w:val="en-US"/>
        </w:rPr>
        <w:t>.</w:t>
      </w:r>
    </w:p>
    <w:p>
      <w:pPr>
        <w:pStyle w:val="Body"/>
        <w:numPr>
          <w:ilvl w:val="1"/>
          <w:numId w:val="3"/>
        </w:numPr>
        <w:spacing w:before="120"/>
        <w:rPr>
          <w:sz w:val="24"/>
          <w:szCs w:val="24"/>
          <w:lang w:val="en-US"/>
        </w:rPr>
      </w:pPr>
      <w:r>
        <w:rPr>
          <w:sz w:val="24"/>
          <w:szCs w:val="24"/>
          <w:rtl w:val="0"/>
          <w:lang w:val="en-US"/>
        </w:rPr>
        <w:t xml:space="preserve">See </w:t>
      </w:r>
      <w:r>
        <w:rPr>
          <w:b w:val="1"/>
          <w:bCs w:val="1"/>
          <w:rtl w:val="0"/>
          <w:lang w:val="en-US"/>
        </w:rPr>
        <w:t>Gal 1:1</w:t>
      </w:r>
      <w:r>
        <w:rPr>
          <w:b w:val="1"/>
          <w:bCs w:val="1"/>
          <w:rtl w:val="0"/>
          <w:lang w:val="en-US"/>
        </w:rPr>
        <w:t>…</w:t>
      </w:r>
      <w:r>
        <w:rPr>
          <w:b w:val="1"/>
          <w:bCs w:val="1"/>
          <w:rtl w:val="0"/>
          <w:lang w:val="en-US"/>
        </w:rPr>
        <w:t>6:11; 1Co 1:1</w:t>
      </w:r>
      <w:r>
        <w:rPr>
          <w:b w:val="1"/>
          <w:bCs w:val="1"/>
          <w:rtl w:val="0"/>
          <w:lang w:val="en-US"/>
        </w:rPr>
        <w:t>…</w:t>
      </w:r>
      <w:r>
        <w:rPr>
          <w:b w:val="1"/>
          <w:bCs w:val="1"/>
          <w:rtl w:val="0"/>
          <w:lang w:val="en-US"/>
        </w:rPr>
        <w:t>14:37-38</w:t>
      </w:r>
      <w:r>
        <w:rPr>
          <w:b w:val="1"/>
          <w:bCs w:val="1"/>
          <w:rtl w:val="0"/>
          <w:lang w:val="en-US"/>
        </w:rPr>
        <w:t>…</w:t>
      </w:r>
      <w:r>
        <w:rPr>
          <w:b w:val="1"/>
          <w:bCs w:val="1"/>
          <w:rtl w:val="0"/>
          <w:lang w:val="en-US"/>
        </w:rPr>
        <w:t>16:21; Col 1:1</w:t>
      </w:r>
      <w:r>
        <w:rPr>
          <w:b w:val="1"/>
          <w:bCs w:val="1"/>
          <w:rtl w:val="0"/>
          <w:lang w:val="en-US"/>
        </w:rPr>
        <w:t>…</w:t>
      </w:r>
      <w:r>
        <w:rPr>
          <w:b w:val="1"/>
          <w:bCs w:val="1"/>
          <w:rtl w:val="0"/>
          <w:lang w:val="en-US"/>
        </w:rPr>
        <w:t>4:16; 1Th 2:13</w:t>
      </w:r>
      <w:r>
        <w:rPr>
          <w:b w:val="1"/>
          <w:bCs w:val="1"/>
          <w:rtl w:val="0"/>
          <w:lang w:val="en-US"/>
        </w:rPr>
        <w:t>…</w:t>
      </w:r>
      <w:r>
        <w:rPr>
          <w:b w:val="1"/>
          <w:bCs w:val="1"/>
          <w:rtl w:val="0"/>
          <w:lang w:val="en-US"/>
        </w:rPr>
        <w:t>5:27; 2Th 2:2</w:t>
      </w:r>
      <w:r>
        <w:rPr>
          <w:b w:val="1"/>
          <w:bCs w:val="1"/>
          <w:rtl w:val="0"/>
          <w:lang w:val="en-US"/>
        </w:rPr>
        <w:t>…</w:t>
      </w:r>
      <w:r>
        <w:rPr>
          <w:b w:val="1"/>
          <w:bCs w:val="1"/>
          <w:rtl w:val="0"/>
          <w:lang w:val="en-US"/>
        </w:rPr>
        <w:t>15,17</w:t>
      </w:r>
      <w:r>
        <w:rPr>
          <w:sz w:val="24"/>
          <w:szCs w:val="24"/>
          <w:rtl w:val="0"/>
          <w:lang w:val="en-US"/>
        </w:rPr>
        <w:t xml:space="preserve">. What was appealed to giving these particular letters </w:t>
      </w:r>
      <w:r>
        <w:rPr>
          <w:sz w:val="24"/>
          <w:szCs w:val="24"/>
          <w:rtl w:val="0"/>
          <w:lang w:val="en-US"/>
        </w:rPr>
        <w:t>“</w:t>
      </w:r>
      <w:r>
        <w:rPr>
          <w:sz w:val="24"/>
          <w:szCs w:val="24"/>
          <w:rtl w:val="0"/>
          <w:lang w:val="en-US"/>
        </w:rPr>
        <w:t>sacred</w:t>
      </w:r>
      <w:r>
        <w:rPr>
          <w:sz w:val="24"/>
          <w:szCs w:val="24"/>
          <w:rtl w:val="0"/>
          <w:lang w:val="en-US"/>
        </w:rPr>
        <w:t xml:space="preserve">” </w:t>
      </w:r>
      <w:r>
        <w:rPr>
          <w:sz w:val="24"/>
          <w:szCs w:val="24"/>
          <w:rtl w:val="0"/>
          <w:lang w:val="en-US"/>
        </w:rPr>
        <w:t xml:space="preserve">status worthy reading, teaching, and being part of the standard </w:t>
      </w:r>
      <w:r>
        <w:rPr>
          <w:sz w:val="24"/>
          <w:szCs w:val="24"/>
          <w:rtl w:val="0"/>
          <w:lang w:val="en-US"/>
        </w:rPr>
        <w:t>of truth, faith, and conduct</w:t>
      </w:r>
      <w:r>
        <w:rPr>
          <w:sz w:val="24"/>
          <w:szCs w:val="24"/>
          <w:rtl w:val="0"/>
          <w:lang w:val="en-US"/>
        </w:rPr>
        <w:t>? What were the readers warned about?</w:t>
      </w:r>
    </w:p>
    <w:p>
      <w:pPr>
        <w:pStyle w:val="Body"/>
        <w:numPr>
          <w:ilvl w:val="0"/>
          <w:numId w:val="3"/>
        </w:numPr>
        <w:spacing w:before="200"/>
        <w:rPr>
          <w:sz w:val="24"/>
          <w:szCs w:val="24"/>
          <w:lang w:val="en-US"/>
        </w:rPr>
      </w:pPr>
      <w:r>
        <w:rPr>
          <w:sz w:val="24"/>
          <w:szCs w:val="24"/>
          <w:rtl w:val="0"/>
          <w:lang w:val="en-US"/>
        </w:rPr>
        <w:t xml:space="preserve">Following are evidences that the books of the </w:t>
      </w:r>
      <w:r>
        <w:rPr>
          <w:sz w:val="24"/>
          <w:szCs w:val="24"/>
          <w:rtl w:val="0"/>
          <w:lang w:val="en-US"/>
        </w:rPr>
        <w:t>“</w:t>
      </w:r>
      <w:r>
        <w:rPr>
          <w:sz w:val="24"/>
          <w:szCs w:val="24"/>
          <w:rtl w:val="0"/>
          <w:lang w:val="en-US"/>
        </w:rPr>
        <w:t>Apocrypha</w:t>
      </w:r>
      <w:r>
        <w:rPr>
          <w:sz w:val="24"/>
          <w:szCs w:val="24"/>
          <w:rtl w:val="0"/>
          <w:lang w:val="en-US"/>
        </w:rPr>
        <w:t xml:space="preserve">” </w:t>
      </w:r>
      <w:r>
        <w:rPr>
          <w:sz w:val="24"/>
          <w:szCs w:val="24"/>
          <w:rtl w:val="0"/>
          <w:lang w:val="en-US"/>
        </w:rPr>
        <w:t>do not meet this criterion, and therefore do not belong in the</w:t>
      </w:r>
      <w:r>
        <w:rPr>
          <w:sz w:val="24"/>
          <w:szCs w:val="24"/>
          <w:rtl w:val="0"/>
          <w:lang w:val="en-US"/>
        </w:rPr>
        <w:t xml:space="preserve"> </w:t>
      </w:r>
      <w:r>
        <w:rPr>
          <w:sz w:val="24"/>
          <w:szCs w:val="24"/>
          <w:rtl w:val="0"/>
          <w:lang w:val="en-US"/>
        </w:rPr>
        <w:t xml:space="preserve">book esteemed as the Word of God, </w:t>
      </w:r>
      <w:r>
        <w:rPr>
          <w:sz w:val="24"/>
          <w:szCs w:val="24"/>
          <w:rtl w:val="0"/>
          <w:lang w:val="en-US"/>
        </w:rPr>
        <w:t>“</w:t>
      </w:r>
      <w:r>
        <w:rPr>
          <w:sz w:val="24"/>
          <w:szCs w:val="24"/>
          <w:rtl w:val="0"/>
          <w:lang w:val="en-US"/>
        </w:rPr>
        <w:t>The Holy Bible.</w:t>
      </w:r>
      <w:r>
        <w:rPr>
          <w:sz w:val="24"/>
          <w:szCs w:val="24"/>
          <w:rtl w:val="0"/>
          <w:lang w:val="en-US"/>
        </w:rPr>
        <w:t xml:space="preserve">” </w:t>
      </w:r>
      <w:r>
        <w:rPr>
          <w:rtl w:val="0"/>
          <w:lang w:val="en-US"/>
        </w:rPr>
        <w:t xml:space="preserve">We will discuss these in </w:t>
      </w:r>
      <w:r>
        <w:rPr>
          <w:rtl w:val="0"/>
          <w:lang w:val="en-US"/>
        </w:rPr>
        <w:t>class</w:t>
      </w:r>
      <w:r>
        <w:rPr>
          <w:rtl w:val="0"/>
          <w:lang w:val="en-US"/>
        </w:rPr>
        <w:t xml:space="preserve"> as time allows. </w:t>
      </w:r>
      <w:r>
        <w:rPr>
          <w:sz w:val="24"/>
          <w:szCs w:val="24"/>
          <w:rtl w:val="0"/>
          <w:lang w:val="en-US"/>
        </w:rPr>
        <w:t xml:space="preserve">Note: being included in the book we call </w:t>
      </w:r>
      <w:r>
        <w:rPr>
          <w:sz w:val="24"/>
          <w:szCs w:val="24"/>
          <w:rtl w:val="0"/>
          <w:lang w:val="en-US"/>
        </w:rPr>
        <w:t>“</w:t>
      </w:r>
      <w:r>
        <w:rPr>
          <w:sz w:val="24"/>
          <w:szCs w:val="24"/>
          <w:rtl w:val="0"/>
          <w:lang w:val="en-US"/>
        </w:rPr>
        <w:t>The Bible</w:t>
      </w:r>
      <w:r>
        <w:rPr>
          <w:sz w:val="24"/>
          <w:szCs w:val="24"/>
          <w:rtl w:val="0"/>
          <w:lang w:val="en-US"/>
        </w:rPr>
        <w:t xml:space="preserve">” </w:t>
      </w:r>
      <w:r>
        <w:rPr>
          <w:sz w:val="24"/>
          <w:szCs w:val="24"/>
          <w:rtl w:val="0"/>
          <w:lang w:val="en-US"/>
        </w:rPr>
        <w:t xml:space="preserve">does not make the books in it inspired by God; being </w:t>
      </w:r>
      <w:r>
        <w:rPr>
          <w:i w:val="1"/>
          <w:iCs w:val="1"/>
          <w:rtl w:val="0"/>
          <w:lang w:val="en-US"/>
        </w:rPr>
        <w:t>inspired by God</w:t>
      </w:r>
      <w:r>
        <w:rPr>
          <w:sz w:val="24"/>
          <w:szCs w:val="24"/>
          <w:rtl w:val="0"/>
          <w:lang w:val="en-US"/>
        </w:rPr>
        <w:t xml:space="preserve"> is what gave them the right to be included in </w:t>
      </w:r>
      <w:r>
        <w:rPr>
          <w:sz w:val="24"/>
          <w:szCs w:val="24"/>
          <w:rtl w:val="0"/>
          <w:lang w:val="en-US"/>
        </w:rPr>
        <w:t>“</w:t>
      </w:r>
      <w:r>
        <w:rPr>
          <w:sz w:val="24"/>
          <w:szCs w:val="24"/>
          <w:rtl w:val="0"/>
          <w:lang w:val="en-US"/>
        </w:rPr>
        <w:t>The Holy (Sacred) Bible.</w:t>
      </w:r>
      <w:r>
        <w:rPr>
          <w:sz w:val="24"/>
          <w:szCs w:val="24"/>
          <w:rtl w:val="0"/>
          <w:lang w:val="en-US"/>
        </w:rPr>
        <w:t>”</w:t>
      </w:r>
    </w:p>
    <w:p>
      <w:pPr>
        <w:pStyle w:val="Body"/>
        <w:numPr>
          <w:ilvl w:val="1"/>
          <w:numId w:val="3"/>
        </w:numPr>
        <w:spacing w:before="200"/>
        <w:rPr>
          <w:sz w:val="24"/>
          <w:szCs w:val="24"/>
          <w:lang w:val="en-US"/>
        </w:rPr>
      </w:pPr>
      <w:r>
        <w:rPr>
          <w:sz w:val="24"/>
          <w:szCs w:val="24"/>
          <w:rtl w:val="0"/>
          <w:lang w:val="en-US"/>
        </w:rPr>
        <w:t xml:space="preserve">They were never included in the Hebrew canon of the Old Testament. The Old Testament is a collection of books by Jewish authors for the Jewish </w:t>
      </w:r>
      <w:r>
        <w:rPr>
          <w:sz w:val="24"/>
          <w:szCs w:val="24"/>
          <w:rtl w:val="0"/>
          <w:lang w:val="en-US"/>
        </w:rPr>
        <w:t>nation,</w:t>
      </w:r>
      <w:r>
        <w:rPr>
          <w:sz w:val="24"/>
          <w:szCs w:val="24"/>
          <w:rtl w:val="0"/>
          <w:lang w:val="en-US"/>
        </w:rPr>
        <w:t xml:space="preserve"> and these divine </w:t>
      </w:r>
      <w:r>
        <w:rPr>
          <w:sz w:val="24"/>
          <w:szCs w:val="24"/>
          <w:rtl w:val="0"/>
          <w:lang w:val="en-US"/>
        </w:rPr>
        <w:t>“</w:t>
      </w:r>
      <w:r>
        <w:rPr>
          <w:sz w:val="24"/>
          <w:szCs w:val="24"/>
          <w:rtl w:val="0"/>
          <w:lang w:val="en-US"/>
        </w:rPr>
        <w:t>oracles</w:t>
      </w:r>
      <w:r>
        <w:rPr>
          <w:sz w:val="24"/>
          <w:szCs w:val="24"/>
          <w:rtl w:val="0"/>
          <w:lang w:val="en-US"/>
        </w:rPr>
        <w:t xml:space="preserve">” </w:t>
      </w:r>
      <w:r>
        <w:rPr>
          <w:sz w:val="24"/>
          <w:szCs w:val="24"/>
          <w:rtl w:val="0"/>
          <w:lang w:val="en-US"/>
        </w:rPr>
        <w:t xml:space="preserve">were </w:t>
      </w:r>
      <w:r>
        <w:rPr>
          <w:sz w:val="24"/>
          <w:szCs w:val="24"/>
          <w:rtl w:val="0"/>
          <w:lang w:val="en-US"/>
        </w:rPr>
        <w:t>“</w:t>
      </w:r>
      <w:r>
        <w:rPr>
          <w:sz w:val="24"/>
          <w:szCs w:val="24"/>
          <w:rtl w:val="0"/>
          <w:lang w:val="en-US"/>
        </w:rPr>
        <w:t>entrusted to them,</w:t>
      </w:r>
      <w:r>
        <w:rPr>
          <w:sz w:val="24"/>
          <w:szCs w:val="24"/>
          <w:rtl w:val="0"/>
          <w:lang w:val="en-US"/>
        </w:rPr>
        <w:t xml:space="preserve">” </w:t>
      </w:r>
      <w:r>
        <w:rPr>
          <w:b w:val="1"/>
          <w:bCs w:val="1"/>
          <w:rtl w:val="0"/>
          <w:lang w:val="en-US"/>
        </w:rPr>
        <w:t>Rom 3:2</w:t>
      </w:r>
      <w:r>
        <w:rPr>
          <w:sz w:val="24"/>
          <w:szCs w:val="24"/>
          <w:rtl w:val="0"/>
          <w:lang w:val="en-US"/>
        </w:rPr>
        <w:t>.</w:t>
      </w:r>
    </w:p>
    <w:p>
      <w:pPr>
        <w:pStyle w:val="Body"/>
        <w:numPr>
          <w:ilvl w:val="1"/>
          <w:numId w:val="3"/>
        </w:numPr>
        <w:spacing w:before="200"/>
        <w:rPr>
          <w:sz w:val="24"/>
          <w:szCs w:val="24"/>
          <w:lang w:val="en-US"/>
        </w:rPr>
      </w:pPr>
      <w:r>
        <w:rPr>
          <w:sz w:val="24"/>
          <w:szCs w:val="24"/>
          <w:rtl w:val="0"/>
          <w:lang w:val="en-US"/>
        </w:rPr>
        <w:t xml:space="preserve">They were never quoted or referred to as the Word of God by Jesus, the apostles, or the New Testament prophets. Compare, </w:t>
      </w:r>
      <w:r>
        <w:rPr>
          <w:sz w:val="24"/>
          <w:szCs w:val="24"/>
          <w:rtl w:val="0"/>
          <w:lang w:val="en-US"/>
        </w:rPr>
        <w:t>“</w:t>
      </w:r>
      <w:r>
        <w:rPr>
          <w:sz w:val="24"/>
          <w:szCs w:val="24"/>
          <w:rtl w:val="0"/>
          <w:lang w:val="en-US"/>
        </w:rPr>
        <w:t>It is written</w:t>
      </w:r>
      <w:r>
        <w:rPr>
          <w:sz w:val="24"/>
          <w:szCs w:val="24"/>
          <w:rtl w:val="0"/>
          <w:lang w:val="en-US"/>
        </w:rPr>
        <w:t xml:space="preserve">” </w:t>
      </w:r>
      <w:r>
        <w:rPr>
          <w:sz w:val="24"/>
          <w:szCs w:val="24"/>
          <w:rtl w:val="0"/>
          <w:lang w:val="en-US"/>
        </w:rPr>
        <w:t>(</w:t>
      </w:r>
      <w:r>
        <w:rPr>
          <w:b w:val="1"/>
          <w:bCs w:val="1"/>
          <w:rtl w:val="0"/>
          <w:lang w:val="en-US"/>
        </w:rPr>
        <w:t>Mt 4:7</w:t>
      </w:r>
      <w:r>
        <w:rPr>
          <w:sz w:val="24"/>
          <w:szCs w:val="24"/>
          <w:rtl w:val="0"/>
          <w:lang w:val="en-US"/>
        </w:rPr>
        <w:t xml:space="preserve">), </w:t>
      </w:r>
      <w:r>
        <w:rPr>
          <w:sz w:val="24"/>
          <w:szCs w:val="24"/>
          <w:rtl w:val="0"/>
          <w:lang w:val="en-US"/>
        </w:rPr>
        <w:t>“</w:t>
      </w:r>
      <w:r>
        <w:rPr>
          <w:sz w:val="24"/>
          <w:szCs w:val="24"/>
          <w:rtl w:val="0"/>
          <w:lang w:val="en-US"/>
        </w:rPr>
        <w:t>God said</w:t>
      </w:r>
      <w:r>
        <w:rPr>
          <w:sz w:val="24"/>
          <w:szCs w:val="24"/>
          <w:rtl w:val="0"/>
          <w:lang w:val="en-US"/>
        </w:rPr>
        <w:t xml:space="preserve">” </w:t>
      </w:r>
      <w:r>
        <w:rPr>
          <w:sz w:val="24"/>
          <w:szCs w:val="24"/>
          <w:rtl w:val="0"/>
          <w:lang w:val="en-US"/>
        </w:rPr>
        <w:t>(</w:t>
      </w:r>
      <w:r>
        <w:rPr>
          <w:b w:val="1"/>
          <w:bCs w:val="1"/>
          <w:rtl w:val="0"/>
          <w:lang w:val="en-US"/>
        </w:rPr>
        <w:t>Mt 15:4</w:t>
      </w:r>
      <w:r>
        <w:rPr>
          <w:sz w:val="24"/>
          <w:szCs w:val="24"/>
          <w:rtl w:val="0"/>
          <w:lang w:val="en-US"/>
        </w:rPr>
        <w:t xml:space="preserve">), </w:t>
      </w:r>
      <w:r>
        <w:rPr>
          <w:sz w:val="24"/>
          <w:szCs w:val="24"/>
          <w:rtl w:val="0"/>
          <w:lang w:val="en-US"/>
        </w:rPr>
        <w:t>“</w:t>
      </w:r>
      <w:r>
        <w:rPr>
          <w:sz w:val="24"/>
          <w:szCs w:val="24"/>
          <w:rtl w:val="0"/>
          <w:lang w:val="en-US"/>
        </w:rPr>
        <w:t>Scripture says</w:t>
      </w:r>
      <w:r>
        <w:rPr>
          <w:sz w:val="24"/>
          <w:szCs w:val="24"/>
          <w:rtl w:val="0"/>
          <w:lang w:val="en-US"/>
        </w:rPr>
        <w:t xml:space="preserve">” </w:t>
      </w:r>
      <w:r>
        <w:rPr>
          <w:sz w:val="24"/>
          <w:szCs w:val="24"/>
          <w:rtl w:val="0"/>
          <w:lang w:val="en-US"/>
        </w:rPr>
        <w:t>(</w:t>
      </w:r>
      <w:r>
        <w:rPr>
          <w:b w:val="1"/>
          <w:bCs w:val="1"/>
          <w:rtl w:val="0"/>
          <w:lang w:val="en-US"/>
        </w:rPr>
        <w:t>Rom 10:11</w:t>
      </w:r>
      <w:r>
        <w:rPr>
          <w:sz w:val="24"/>
          <w:szCs w:val="24"/>
          <w:rtl w:val="0"/>
          <w:lang w:val="en-US"/>
        </w:rPr>
        <w:t>), etc.</w:t>
      </w:r>
    </w:p>
    <w:p>
      <w:pPr>
        <w:pStyle w:val="Body"/>
        <w:numPr>
          <w:ilvl w:val="1"/>
          <w:numId w:val="3"/>
        </w:numPr>
        <w:spacing w:before="200"/>
        <w:rPr>
          <w:sz w:val="24"/>
          <w:szCs w:val="24"/>
          <w:lang w:val="en-US"/>
        </w:rPr>
      </w:pPr>
      <w:r>
        <w:rPr>
          <w:sz w:val="24"/>
          <w:szCs w:val="24"/>
          <w:rtl w:val="0"/>
          <w:lang w:val="en-US"/>
        </w:rPr>
        <w:t>They never claimed inspiration. In fact, they were written after the period Old Testament revelation was recognized to have ceased.</w:t>
      </w:r>
    </w:p>
    <w:p>
      <w:pPr>
        <w:pStyle w:val="Body"/>
        <w:numPr>
          <w:ilvl w:val="1"/>
          <w:numId w:val="3"/>
        </w:numPr>
        <w:spacing w:before="200"/>
        <w:rPr>
          <w:sz w:val="24"/>
          <w:szCs w:val="24"/>
          <w:lang w:val="en-US"/>
        </w:rPr>
      </w:pPr>
      <w:r>
        <w:rPr>
          <w:sz w:val="24"/>
          <w:szCs w:val="24"/>
          <w:rtl w:val="0"/>
          <w:lang w:val="en-US"/>
        </w:rPr>
        <w:t xml:space="preserve">They contain errors. Some contain historical, </w:t>
      </w:r>
      <w:r>
        <w:rPr>
          <w:sz w:val="24"/>
          <w:szCs w:val="24"/>
          <w:rtl w:val="0"/>
          <w:lang w:val="en-US"/>
        </w:rPr>
        <w:t>chronological,</w:t>
      </w:r>
      <w:r>
        <w:rPr>
          <w:sz w:val="24"/>
          <w:szCs w:val="24"/>
          <w:rtl w:val="0"/>
          <w:lang w:val="en-US"/>
        </w:rPr>
        <w:t xml:space="preserve"> and geographical errors. Some contain clearly doctrinal errors. Some are clearly fictitious.</w:t>
      </w:r>
      <w:r>
        <w:rPr>
          <w:sz w:val="24"/>
          <w:szCs w:val="24"/>
          <w:shd w:val="clear" w:color="auto" w:fill="e5e5e5"/>
        </w:rPr>
      </w:r>
    </w:p>
    <w:sectPr>
      <w:type w:val="continuous"/>
      <w:pgSz w:w="12240" w:h="15840" w:orient="portrait"/>
      <w:pgMar w:top="1080" w:right="720" w:bottom="720" w:left="72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Franklin Gothic">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5400"/>
        <w:tab w:val="right" w:pos="10800"/>
        <w:tab w:val="clear" w:pos="9020"/>
      </w:tabs>
      <w:jc w:val="left"/>
    </w:pPr>
    <w:r>
      <w:rPr>
        <w:sz w:val="18"/>
        <w:szCs w:val="18"/>
      </w:rPr>
      <w:tab/>
      <w:tab/>
    </w:r>
    <w:r>
      <w:rPr>
        <w:sz w:val="18"/>
        <w:szCs w:val="18"/>
        <w:rtl w:val="0"/>
        <w:lang w:val="en-US"/>
      </w:rPr>
      <w:t xml:space="preserve">page </w:t>
    </w:r>
    <w:r>
      <w:rPr>
        <w:sz w:val="18"/>
        <w:szCs w:val="18"/>
      </w:rPr>
      <w:fldChar w:fldCharType="begin" w:fldLock="0"/>
    </w:r>
    <w:r>
      <w:rPr>
        <w:sz w:val="18"/>
        <w:szCs w:val="18"/>
      </w:rPr>
      <w:instrText xml:space="preserve"> PAGE </w:instrText>
    </w:r>
    <w:r>
      <w:rPr>
        <w:sz w:val="18"/>
        <w:szCs w:val="18"/>
      </w:rPr>
      <w:fldChar w:fldCharType="separate" w:fldLock="0"/>
    </w:r>
    <w:r>
      <w:rPr>
        <w:sz w:val="18"/>
        <w:szCs w:val="18"/>
      </w:rPr>
    </w:r>
    <w:r>
      <w:rPr>
        <w:sz w:val="18"/>
        <w:szCs w:val="18"/>
      </w:rPr>
      <w:fldChar w:fldCharType="end" w:fldLock="0"/>
    </w:r>
    <w:r>
      <w:rPr>
        <w:sz w:val="18"/>
        <w:szCs w:val="18"/>
        <w:rtl w:val="0"/>
        <w:lang w:val="en-US"/>
      </w:rPr>
      <w:t xml:space="preserve"> of </w:t>
    </w:r>
    <w:r>
      <w:rPr>
        <w:sz w:val="18"/>
        <w:szCs w:val="18"/>
      </w:rPr>
      <w:fldChar w:fldCharType="begin" w:fldLock="0"/>
    </w:r>
    <w:r>
      <w:rPr>
        <w:sz w:val="18"/>
        <w:szCs w:val="18"/>
      </w:rPr>
      <w:instrText xml:space="preserve"> NUMPAGES </w:instrText>
    </w:r>
    <w:r>
      <w:rPr>
        <w:sz w:val="18"/>
        <w:szCs w:val="18"/>
      </w:rPr>
      <w:fldChar w:fldCharType="separate" w:fldLock="0"/>
    </w:r>
    <w:r>
      <w:rPr>
        <w:sz w:val="18"/>
        <w:szCs w:val="18"/>
      </w:rPr>
    </w:r>
    <w:r>
      <w:rPr>
        <w:sz w:val="18"/>
        <w:szCs w:val="18"/>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tabs>
          <w:tab w:val="left" w:pos="360"/>
        </w:tabs>
        <w:ind w:left="288" w:hanging="26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tabs>
          <w:tab w:val="left" w:pos="360"/>
        </w:tabs>
        <w:ind w:left="33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tabs>
          <w:tab w:val="left" w:pos="360"/>
        </w:tabs>
        <w:ind w:left="35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37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9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41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3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45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478" w:hanging="298"/>
      </w:pPr>
      <w:rPr>
        <w:rFonts w:ascii="Times New Roman" w:cs="Times New Roman" w:hAnsi="Times New Roman" w:eastAsia="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1"/>
  </w:num>
  <w:num w:numId="2">
    <w:abstractNumId w:val="0"/>
  </w:num>
  <w:num w:numId="3">
    <w:abstractNumId w:val="0"/>
    <w:lvlOverride w:ilvl="0">
      <w:startOverride w:val="1"/>
      <w:lvl w:ilvl="0">
        <w:start w:val="1"/>
        <w:numFmt w:val="decimal"/>
        <w:suff w:val="tab"/>
        <w:lvlText w:val="%1."/>
        <w:lvlJc w:val="left"/>
        <w:pPr>
          <w:ind w:left="3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suff w:val="tab"/>
        <w:lvlText w:val="%2."/>
        <w:lvlJc w:val="left"/>
        <w:pPr>
          <w:ind w:left="7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1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3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5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91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73" w:hanging="39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